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1" w:rsidRPr="00483241" w:rsidRDefault="00483241" w:rsidP="0048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41" w:rsidRPr="00483241" w:rsidRDefault="00483241" w:rsidP="00483241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ru-RU" w:bidi="en-US"/>
        </w:rPr>
      </w:pPr>
      <w:r w:rsidRPr="00483241"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D061C95" wp14:editId="0E834298">
            <wp:extent cx="676910" cy="878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8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41" w:rsidRPr="00483241" w:rsidRDefault="00483241" w:rsidP="00483241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ru-RU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483241" w:rsidRPr="00483241" w:rsidTr="00074ABE">
        <w:tc>
          <w:tcPr>
            <w:tcW w:w="4413" w:type="dxa"/>
          </w:tcPr>
          <w:p w:rsidR="00483241" w:rsidRPr="00483241" w:rsidRDefault="00483241" w:rsidP="0048324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МАРЫ ЭЛ </w:t>
            </w:r>
          </w:p>
          <w:p w:rsidR="00483241" w:rsidRPr="00483241" w:rsidRDefault="00483241" w:rsidP="0048324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>РЕСПУБЛИК</w:t>
            </w:r>
            <w:r w:rsidRPr="00483241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4"/>
                <w:lang w:eastAsia="ru-RU" w:bidi="en-US"/>
              </w:rPr>
              <w:t>Ӹ</w:t>
            </w:r>
            <w:proofErr w:type="gramStart"/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ШТ</w:t>
            </w:r>
            <w:proofErr w:type="gramEnd"/>
            <w:r w:rsidRPr="00483241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4"/>
                <w:lang w:eastAsia="ru-RU" w:bidi="en-US"/>
              </w:rPr>
              <w:t>Ӹ</w:t>
            </w:r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Ш</w:t>
            </w:r>
            <w:r w:rsidRPr="00483241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4"/>
                <w:lang w:eastAsia="ru-RU" w:bidi="en-US"/>
              </w:rPr>
              <w:t>Ӹ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КИЛЕМАР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МУНИЦИПАЛЬНЫЙ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РАЙОНЫН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48324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ЙЫЛЕЙ</w:t>
            </w:r>
            <w:r w:rsidRPr="00483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ÄЛ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 xml:space="preserve"> СОЛА</w:t>
            </w:r>
          </w:p>
          <w:p w:rsidR="00483241" w:rsidRPr="00483241" w:rsidRDefault="00483241" w:rsidP="0048324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ru-RU" w:bidi="en-US"/>
              </w:rPr>
              <w:t>АДМИНИСТРАЦИЖ</w:t>
            </w:r>
            <w:r w:rsidRPr="00483241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4"/>
                <w:lang w:val="en-US" w:eastAsia="ru-RU" w:bidi="en-US"/>
              </w:rPr>
              <w:t>Ӹ</w:t>
            </w:r>
          </w:p>
          <w:p w:rsidR="00483241" w:rsidRPr="00483241" w:rsidRDefault="00483241" w:rsidP="0048324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14" w:type="dxa"/>
          </w:tcPr>
          <w:p w:rsidR="00483241" w:rsidRPr="00483241" w:rsidRDefault="00483241" w:rsidP="004832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465" w:type="dxa"/>
          </w:tcPr>
          <w:p w:rsidR="00483241" w:rsidRPr="00483241" w:rsidRDefault="00483241" w:rsidP="00483241">
            <w:pPr>
              <w:spacing w:after="12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4"/>
                <w:lang w:eastAsia="ru-RU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ru-RU" w:bidi="en-US"/>
              </w:rPr>
              <w:t>БОЛЬШЕКИБЕЕВСКАЯ  СЕЛЬСКАЯ АДМИНИСТРАЦИЯ</w:t>
            </w:r>
            <w:r w:rsidRPr="00483241"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4"/>
                <w:lang w:eastAsia="ru-RU" w:bidi="en-US"/>
              </w:rPr>
              <w:t xml:space="preserve"> КИЛЕМАРСКОГО МУНИЦИПАЛЬНОГО РАЙОНА РЕСПУБЛИКИ МАРИЙ ЭЛ</w:t>
            </w:r>
          </w:p>
          <w:p w:rsidR="00483241" w:rsidRPr="00483241" w:rsidRDefault="00483241" w:rsidP="00483241">
            <w:pPr>
              <w:spacing w:after="12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4"/>
                <w:lang w:bidi="en-US"/>
              </w:rPr>
            </w:pPr>
          </w:p>
        </w:tc>
      </w:tr>
      <w:tr w:rsidR="00483241" w:rsidRPr="00483241" w:rsidTr="00074ABE">
        <w:tc>
          <w:tcPr>
            <w:tcW w:w="4413" w:type="dxa"/>
            <w:vAlign w:val="center"/>
            <w:hideMark/>
          </w:tcPr>
          <w:p w:rsidR="00483241" w:rsidRPr="00483241" w:rsidRDefault="00483241" w:rsidP="00483241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ru-RU" w:bidi="en-US"/>
              </w:rPr>
              <w:t>ПУНЧАЛ</w:t>
            </w:r>
          </w:p>
        </w:tc>
        <w:tc>
          <w:tcPr>
            <w:tcW w:w="514" w:type="dxa"/>
            <w:vAlign w:val="center"/>
          </w:tcPr>
          <w:p w:rsidR="00483241" w:rsidRPr="00483241" w:rsidRDefault="00483241" w:rsidP="004832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465" w:type="dxa"/>
            <w:vAlign w:val="center"/>
            <w:hideMark/>
          </w:tcPr>
          <w:p w:rsidR="00483241" w:rsidRPr="00483241" w:rsidRDefault="00483241" w:rsidP="00483241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4832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ru-RU" w:bidi="en-US"/>
              </w:rPr>
              <w:t>ПОСТАНОВЛЕНИЕ</w:t>
            </w:r>
          </w:p>
        </w:tc>
      </w:tr>
    </w:tbl>
    <w:p w:rsidR="00483241" w:rsidRPr="00483241" w:rsidRDefault="00483241" w:rsidP="004832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483241" w:rsidRPr="00483241" w:rsidRDefault="00074ABE" w:rsidP="004832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  16 декабря 2020 года    №  33</w:t>
      </w:r>
    </w:p>
    <w:p w:rsidR="00483241" w:rsidRPr="00483241" w:rsidRDefault="00483241" w:rsidP="00483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41" w:rsidRDefault="00483241" w:rsidP="00B6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5FE" w:rsidRDefault="00B6735B" w:rsidP="00B6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proofErr w:type="gramEnd"/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предоставлению</w:t>
      </w:r>
    </w:p>
    <w:p w:rsidR="00A435FE" w:rsidRDefault="008D6EE8" w:rsidP="00B6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435FE" w:rsidRDefault="00B6735B" w:rsidP="00B6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налогоплательщикам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6735B" w:rsidRPr="00A435FE" w:rsidRDefault="00B6735B" w:rsidP="00A4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налогах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D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сборах»</w:t>
      </w:r>
    </w:p>
    <w:p w:rsidR="00B6735B" w:rsidRPr="00B6735B" w:rsidRDefault="008D6EE8" w:rsidP="00B67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6735B" w:rsidRPr="00A435FE" w:rsidRDefault="00B6735B" w:rsidP="001B0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0" w:tgtFrame="_blank" w:history="1">
        <w:r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</w:t>
        </w:r>
        <w:r w:rsidR="008D6EE8"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tgtFrame="_blank" w:history="1">
        <w:r w:rsidR="007D7057"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8D6EE8"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7D7057"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  <w:r w:rsidR="00A435FE"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№21</w:t>
        </w:r>
        <w:r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241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Большекибеевского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0BAF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A435FE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0BAF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№41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2" w:tgtFrame="_blank" w:history="1">
        <w:r w:rsidRPr="0007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241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Большекибеевского</w:t>
      </w:r>
      <w:r w:rsidR="008D6EE8" w:rsidRPr="000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Большекибеевская</w:t>
      </w:r>
      <w:r w:rsidR="001B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Марий Эл </w:t>
      </w:r>
      <w:proofErr w:type="gramStart"/>
      <w:r w:rsid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35B" w:rsidRPr="00A435FE" w:rsidRDefault="001B0BA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«Дача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разъяснений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налогоплательщикам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налогах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сборах».</w:t>
      </w:r>
    </w:p>
    <w:p w:rsidR="00B6735B" w:rsidRPr="00A435FE" w:rsidRDefault="001B0BA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Большекибеевского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Большекибеевского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B6735B" w:rsidRPr="00A435FE" w:rsidRDefault="001B0BA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(обнародования).</w:t>
      </w:r>
    </w:p>
    <w:p w:rsidR="00B6735B" w:rsidRDefault="001B0BA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35B" w:rsidRPr="00A4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483241" w:rsidRDefault="00483241" w:rsidP="0048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41" w:rsidRPr="00483241" w:rsidRDefault="00483241" w:rsidP="0048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 Большекибеевской</w:t>
      </w:r>
    </w:p>
    <w:p w:rsidR="00483241" w:rsidRPr="00483241" w:rsidRDefault="00483241" w:rsidP="0048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  администрации                                                              Н.В. Ершова</w:t>
      </w:r>
    </w:p>
    <w:p w:rsidR="00483241" w:rsidRPr="00A435FE" w:rsidRDefault="00483241" w:rsidP="0048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35B" w:rsidRPr="00A435FE" w:rsidRDefault="008D6EE8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735B" w:rsidRPr="00A435FE" w:rsidRDefault="008D6EE8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B6735B" w:rsidRPr="001B0BAF" w:rsidRDefault="00483241" w:rsidP="0048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B6735B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735B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735B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</w:p>
    <w:p w:rsidR="00B6735B" w:rsidRPr="001B0BAF" w:rsidRDefault="00483241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B6735B" w:rsidRPr="001B0BAF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декабря 2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B6735B" w:rsidRPr="001B0BAF" w:rsidRDefault="008D6EE8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B67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B6735B" w:rsidRPr="001B0BAF" w:rsidRDefault="00B6735B" w:rsidP="001B0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«Дача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налогах</w:t>
      </w:r>
      <w:r w:rsidR="00DD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сборах»</w:t>
      </w:r>
    </w:p>
    <w:p w:rsidR="00B6735B" w:rsidRPr="001B0BAF" w:rsidRDefault="008D6EE8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4A2692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8D6EE8"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8D6EE8"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</w:t>
      </w:r>
      <w:r w:rsidR="008D6EE8"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B6735B" w:rsidRPr="001B0BAF" w:rsidRDefault="008D6EE8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4A2692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8D6EE8"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DD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налог;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DD5B5C" w:rsidRDefault="00DD5B5C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заявитель)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(брошюр,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</w:p>
    <w:p w:rsidR="005A4C5D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«Портал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425280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Большое Кибеево, ул. Большекибеевская, д.63а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8(83643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2-35-45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5A4C5D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</w:t>
      </w:r>
      <w:r w:rsidR="005A4C5D" w:rsidRP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483241" w:rsidRP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kibeevo</w:t>
      </w:r>
      <w:r w:rsidR="005A4C5D" w:rsidRP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5A4C5D" w:rsidRPr="005A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A4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DD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3" w:history="1">
        <w:r w:rsidR="00483241" w:rsidRPr="00074ABE">
          <w:rPr>
            <w:rStyle w:val="a6"/>
            <w:color w:val="auto"/>
          </w:rPr>
          <w:t>http://mari-el.gov.ru/kilemary/sp_k</w:t>
        </w:r>
        <w:r w:rsidR="00483241" w:rsidRPr="00074ABE">
          <w:rPr>
            <w:rStyle w:val="a6"/>
            <w:color w:val="auto"/>
            <w:lang w:val="en-US"/>
          </w:rPr>
          <w:t>ibeevo</w:t>
        </w:r>
        <w:r w:rsidR="00483241" w:rsidRPr="00074ABE">
          <w:rPr>
            <w:rStyle w:val="a6"/>
            <w:color w:val="auto"/>
          </w:rPr>
          <w:t>/Pages/about.aspx</w:t>
        </w:r>
      </w:hyperlink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DD4E9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8D6EE8"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="008D6EE8"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</w:t>
      </w:r>
      <w:r w:rsidR="008D6EE8"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</w:t>
      </w:r>
      <w:r w:rsidR="008D6EE8"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="008D6EE8"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B6735B" w:rsidRPr="00DD4E9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 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(заместителя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актами: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(«Российская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газета»,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25.12.2093,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237);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Налоговый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первая)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03.08.2098,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3824);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proofErr w:type="gramStart"/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принципах</w:t>
        </w:r>
        <w:proofErr w:type="gramEnd"/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местного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самоуправления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Федерации»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3822);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27.07.2010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210-ФЗ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(«Российская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газета»,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30.07.2010,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168)</w:t>
      </w:r>
      <w:bookmarkStart w:id="1" w:name="Par53"/>
      <w:bookmarkEnd w:id="1"/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Правительства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марта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tgtFrame="_blank" w:history="1"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мая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D6EE8"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074A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59-ФЗ</w:t>
        </w:r>
      </w:hyperlink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газета";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3241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Большекибеевского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692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Килемарского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692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B6735B" w:rsidRPr="00074ABE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8D6EE8" w:rsidRPr="0007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167FC6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6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6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67FC6" w:rsidRDefault="00167FC6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(признаков)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неудобства.</w:t>
      </w:r>
      <w:proofErr w:type="gramEnd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2"/>
      <w:bookmarkEnd w:id="2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вывеской,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парковочным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42.Муниципальная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принадлежностями.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(стойками)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(содержащихся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окна».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074ABE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(пять)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делопроизводителю.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(подписавшего)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(информации),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(выдача)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«принято».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документах.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M100263"/>
      <w:bookmarkEnd w:id="3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M100264"/>
      <w:bookmarkEnd w:id="4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M100265"/>
      <w:bookmarkEnd w:id="5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bookmarkStart w:id="6" w:name="BM100266"/>
      <w:bookmarkEnd w:id="6"/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M100267"/>
      <w:bookmarkEnd w:id="7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(внесудебный)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(осуществляемых)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(принимаемых)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Большекибеевскую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4A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21" w:tgtFrame="_blank" w:history="1">
        <w:r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</w:t>
        </w:r>
        <w:r w:rsidR="008D6EE8"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 </w:t>
        </w:r>
        <w:r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  <w:r w:rsidR="008D6EE8"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 </w:t>
        </w:r>
        <w:r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8D6EE8"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 </w:t>
        </w:r>
        <w:r w:rsidRPr="001B0B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proofErr w:type="gramEnd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401"/>
      <w:bookmarkEnd w:id="8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9" w:name="sub_1069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bookmarkEnd w:id="9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70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"Портал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bookmarkEnd w:id="10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81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</w:t>
      </w:r>
      <w:bookmarkEnd w:id="11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82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подготавливаемом,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подготавливающем,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совершающем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совершившем,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компетенцией.</w:t>
      </w:r>
      <w:bookmarkEnd w:id="12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83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  <w:bookmarkEnd w:id="13"/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84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bookmarkEnd w:id="14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85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  <w:bookmarkEnd w:id="15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86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обстоятельства,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жалобу.</w:t>
      </w:r>
      <w:bookmarkEnd w:id="16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550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bookmarkEnd w:id="17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предоставлявших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Большекибеевскую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  <w:proofErr w:type="gramEnd"/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бжалования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удовлетворяется,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00298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94.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решения.».</w:t>
      </w:r>
      <w:bookmarkEnd w:id="18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Большекибеевская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законную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Большекибеевской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Большекибеевская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перенаправлении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обоснованной);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1B0BAF" w:rsidRPr="001B0BAF" w:rsidRDefault="001B0BAF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B6735B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proofErr w:type="gramEnd"/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лица/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вопросу_______________________________________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proofErr w:type="gramEnd"/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6735B" w:rsidRDefault="00B6735B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01704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04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04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04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04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704" w:rsidRPr="001B0BAF" w:rsidRDefault="00501704" w:rsidP="004832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41" w:rsidRDefault="00483241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B6735B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B6735B" w:rsidP="0048324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НАЛОГОПЛПТЕЛЬЩИКАМ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6EE8"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1B0BAF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1B0BAF" w:rsidRDefault="008D6EE8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735B" w:rsidRPr="001B0BAF" w:rsidRDefault="00B6735B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6735B" w:rsidRPr="001B0BAF" w:rsidRDefault="008D6EE8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6735B" w:rsidRPr="001B0BAF" w:rsidRDefault="00B6735B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1B0BAF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1B0BAF" w:rsidRDefault="008D6EE8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735B" w:rsidRPr="001B0BAF" w:rsidRDefault="00B6735B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B6735B" w:rsidRPr="001B0BAF" w:rsidTr="00B6735B">
        <w:trPr>
          <w:trHeight w:val="883"/>
        </w:trPr>
        <w:tc>
          <w:tcPr>
            <w:tcW w:w="80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1B0BAF" w:rsidRDefault="008D6EE8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735B" w:rsidRPr="001B0BAF" w:rsidRDefault="00B6735B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tblInd w:w="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</w:tblGrid>
      <w:tr w:rsidR="00B6735B" w:rsidRPr="001B0BAF" w:rsidTr="00B6735B">
        <w:trPr>
          <w:trHeight w:val="930"/>
        </w:trPr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5B" w:rsidRPr="001B0BAF" w:rsidRDefault="008D6EE8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735B" w:rsidRPr="001B0BAF" w:rsidRDefault="00B6735B" w:rsidP="004832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8D6EE8"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</w:p>
        </w:tc>
      </w:tr>
    </w:tbl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735B" w:rsidRPr="001B0BAF" w:rsidRDefault="008D6EE8" w:rsidP="00483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D7EC0" w:rsidRPr="001B0BAF" w:rsidRDefault="006D7EC0" w:rsidP="004832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D7EC0" w:rsidRPr="001B0BAF" w:rsidSect="004832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16" w:rsidRDefault="00746016" w:rsidP="00DD4E9F">
      <w:pPr>
        <w:spacing w:after="0" w:line="240" w:lineRule="auto"/>
      </w:pPr>
      <w:r>
        <w:separator/>
      </w:r>
    </w:p>
  </w:endnote>
  <w:endnote w:type="continuationSeparator" w:id="0">
    <w:p w:rsidR="00746016" w:rsidRDefault="00746016" w:rsidP="00DD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16" w:rsidRDefault="00746016" w:rsidP="00DD4E9F">
      <w:pPr>
        <w:spacing w:after="0" w:line="240" w:lineRule="auto"/>
      </w:pPr>
      <w:r>
        <w:separator/>
      </w:r>
    </w:p>
  </w:footnote>
  <w:footnote w:type="continuationSeparator" w:id="0">
    <w:p w:rsidR="00746016" w:rsidRDefault="00746016" w:rsidP="00DD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074ABE"/>
    <w:rsid w:val="000B2461"/>
    <w:rsid w:val="00167FC6"/>
    <w:rsid w:val="001B0BAF"/>
    <w:rsid w:val="00223FA1"/>
    <w:rsid w:val="00396C10"/>
    <w:rsid w:val="00483241"/>
    <w:rsid w:val="004A2692"/>
    <w:rsid w:val="00501704"/>
    <w:rsid w:val="0053575A"/>
    <w:rsid w:val="005A4C5D"/>
    <w:rsid w:val="006D7EC0"/>
    <w:rsid w:val="00746016"/>
    <w:rsid w:val="007D7057"/>
    <w:rsid w:val="00837B34"/>
    <w:rsid w:val="008C5A1C"/>
    <w:rsid w:val="008D6EE8"/>
    <w:rsid w:val="00A163D5"/>
    <w:rsid w:val="00A435FE"/>
    <w:rsid w:val="00B6735B"/>
    <w:rsid w:val="00C32ABD"/>
    <w:rsid w:val="00DD4E9F"/>
    <w:rsid w:val="00D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D4E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D4E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D4E9F"/>
    <w:rPr>
      <w:vertAlign w:val="superscript"/>
    </w:rPr>
  </w:style>
  <w:style w:type="character" w:styleId="a6">
    <w:name w:val="Hyperlink"/>
    <w:basedOn w:val="a0"/>
    <w:uiPriority w:val="99"/>
    <w:unhideWhenUsed/>
    <w:rsid w:val="00DD4E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D4E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D4E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D4E9F"/>
    <w:rPr>
      <w:vertAlign w:val="superscript"/>
    </w:rPr>
  </w:style>
  <w:style w:type="character" w:styleId="a6">
    <w:name w:val="Hyperlink"/>
    <w:basedOn w:val="a0"/>
    <w:uiPriority w:val="99"/>
    <w:unhideWhenUsed/>
    <w:rsid w:val="00DD4E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i-el.gov.ru/kilemary/sp_kibeevo/Pages/about.aspx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://pravo.minjust.ru:8080/bigs/showDocument.html?id=BBA0BFB1-06C7-4E50-A8D3-FE1045784BF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365B0B95-F1DC-487D-8F3C-6C5288DF9001" TargetMode="External"/><Relationship Id="rId17" Type="http://schemas.openxmlformats.org/officeDocument/2006/relationships/hyperlink" Target="http://pravo.minjust.ru:8080/bigs/showDocument.html?id=96E20C02-1B12-465A-B64C-24AA92270007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96E20C02-1B12-465A-B64C-24AA92270007" TargetMode="External"/><Relationship Id="rId20" Type="http://schemas.openxmlformats.org/officeDocument/2006/relationships/hyperlink" Target="http://pravo.minjust.ru:8080/bigs/showDocument.html?id=4F48675C-2DC2-4B7B-8F43-C7D17AB907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BBA0BFB1-06C7-4E50-A8D3-FE1045784BF1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B5C1D49E-FAAD-4027-8721-C4ED5CA2F0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B5C1D49E-FAAD-4027-8721-C4ED5CA2F0A3" TargetMode="External"/><Relationship Id="rId19" Type="http://schemas.openxmlformats.org/officeDocument/2006/relationships/hyperlink" Target="http://pravo.minjust.ru:8080/bigs/showDocument.html?id=103BB42A-9DB8-45C4-8E50-7C53BF0DDF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.minjust.ru:8080/bigs/showDocument.html?id=15D4560C-D530-4955-BF7E-F734337AE80B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2020</_x043f__x0430__x043f__x043a__x0430_>
    <_x041e__x043f__x0438__x0441__x0430__x043d__x0438__x0435_ xmlns="6d7c22ec-c6a4-4777-88aa-bc3c76ac660e">Об  утверждении  административного  регламента  по  предоставлению
  муниципальной  услуги  «Дача  письменных  разъяснений  
налогоплательщикам  по  вопросам  применения  муниципальных  
правовых  актов  о  налогах  и  сборах»
</_x041e__x043f__x0438__x0441__x0430__x043d__x0438__x0435_>
    <_dlc_DocId xmlns="57504d04-691e-4fc4-8f09-4f19fdbe90f6">XXJ7TYMEEKJ2-3960-201</_dlc_DocId>
    <_dlc_DocIdUrl xmlns="57504d04-691e-4fc4-8f09-4f19fdbe90f6">
      <Url>https://vip.gov.mari.ru/kilemary/sp_kibeevo/_layouts/DocIdRedir.aspx?ID=XXJ7TYMEEKJ2-3960-201</Url>
      <Description>XXJ7TYMEEKJ2-3960-201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0D259-3E74-4849-AB24-0457DDD7BB09}"/>
</file>

<file path=customXml/itemProps2.xml><?xml version="1.0" encoding="utf-8"?>
<ds:datastoreItem xmlns:ds="http://schemas.openxmlformats.org/officeDocument/2006/customXml" ds:itemID="{12A060EB-DC93-4283-940B-94DC9E540BEA}"/>
</file>

<file path=customXml/itemProps3.xml><?xml version="1.0" encoding="utf-8"?>
<ds:datastoreItem xmlns:ds="http://schemas.openxmlformats.org/officeDocument/2006/customXml" ds:itemID="{01305901-24CC-4613-8AD5-115CB7108273}"/>
</file>

<file path=customXml/itemProps4.xml><?xml version="1.0" encoding="utf-8"?>
<ds:datastoreItem xmlns:ds="http://schemas.openxmlformats.org/officeDocument/2006/customXml" ds:itemID="{C8322342-9326-4889-A577-1967B455FBE8}"/>
</file>

<file path=customXml/itemProps5.xml><?xml version="1.0" encoding="utf-8"?>
<ds:datastoreItem xmlns:ds="http://schemas.openxmlformats.org/officeDocument/2006/customXml" ds:itemID="{2766B17C-3A4F-438E-9FF5-4AD6F70BD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10458</Words>
  <Characters>59613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16 декабря 2020 года    №  33</dc:title>
  <dc:subject/>
  <dc:creator>Пользователь Windows</dc:creator>
  <cp:keywords/>
  <dc:description/>
  <cp:lastModifiedBy>Home</cp:lastModifiedBy>
  <cp:revision>4</cp:revision>
  <cp:lastPrinted>2020-12-26T06:46:00Z</cp:lastPrinted>
  <dcterms:created xsi:type="dcterms:W3CDTF">2020-07-31T05:33:00Z</dcterms:created>
  <dcterms:modified xsi:type="dcterms:W3CDTF">2020-12-26T06:55:00Z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4f4c8366-33a6-43e7-876b-ade8c3e01d4d</vt:lpwstr>
  </property>
</Properties>
</file>